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980" w:firstLineChars="450"/>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泸县司法局</w:t>
      </w:r>
      <w:r>
        <w:rPr>
          <w:rFonts w:hint="eastAsia" w:ascii="方正小标宋简体" w:hAnsi="宋体" w:eastAsia="方正小标宋简体" w:cs="宋体"/>
          <w:sz w:val="44"/>
          <w:szCs w:val="44"/>
        </w:rPr>
        <w:t>责任清单(表一)</w:t>
      </w:r>
    </w:p>
    <w:p>
      <w:pPr>
        <w:rPr>
          <w:rFonts w:ascii="宋体" w:hAnsi="宋体" w:cs="仿宋_GB2312"/>
          <w:szCs w:val="21"/>
        </w:rPr>
      </w:pPr>
    </w:p>
    <w:tbl>
      <w:tblPr>
        <w:tblStyle w:val="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68"/>
        <w:gridCol w:w="9"/>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8"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主体责任</w:t>
            </w:r>
          </w:p>
        </w:tc>
        <w:tc>
          <w:tcPr>
            <w:tcW w:w="677" w:type="dxa"/>
            <w:gridSpan w:val="2"/>
            <w:vAlign w:val="center"/>
          </w:tcPr>
          <w:p>
            <w:pPr>
              <w:jc w:val="center"/>
              <w:rPr>
                <w:rFonts w:hint="eastAsia" w:asciiTheme="minorEastAsia" w:hAnsiTheme="minorEastAsia" w:eastAsiaTheme="minorEastAsia" w:cstheme="minorEastAsia"/>
                <w:sz w:val="21"/>
                <w:szCs w:val="21"/>
              </w:rPr>
            </w:pPr>
          </w:p>
        </w:tc>
        <w:tc>
          <w:tcPr>
            <w:tcW w:w="688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承担全面依法治国、依法治省、依法治市、依法治县重大问题的政策研究，协调有关方面提出全面依法治县规划建议，负责有关重大决策部署督察工作。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8" w:type="dxa"/>
            <w:vMerge w:val="continue"/>
            <w:vAlign w:val="center"/>
          </w:tcPr>
          <w:p>
            <w:pPr>
              <w:jc w:val="center"/>
              <w:rPr>
                <w:rFonts w:hint="eastAsia" w:asciiTheme="minorEastAsia" w:hAnsiTheme="minorEastAsia" w:eastAsiaTheme="minorEastAsia" w:cstheme="minorEastAsia"/>
                <w:sz w:val="21"/>
                <w:szCs w:val="21"/>
              </w:rPr>
            </w:pPr>
          </w:p>
        </w:tc>
        <w:tc>
          <w:tcPr>
            <w:tcW w:w="677" w:type="dxa"/>
            <w:gridSpan w:val="2"/>
            <w:vAlign w:val="center"/>
          </w:tcPr>
          <w:p>
            <w:pPr>
              <w:jc w:val="center"/>
              <w:rPr>
                <w:rFonts w:hint="eastAsia" w:asciiTheme="minorEastAsia" w:hAnsiTheme="minorEastAsia" w:eastAsiaTheme="minorEastAsia" w:cstheme="minorEastAsia"/>
                <w:sz w:val="21"/>
                <w:szCs w:val="21"/>
              </w:rPr>
            </w:pPr>
          </w:p>
        </w:tc>
        <w:tc>
          <w:tcPr>
            <w:tcW w:w="688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负责县政府规范性文件、重大行政决策发布前的合法性审查。承办县政府规范性文件的报送备案工作。负责各镇（</w:t>
            </w:r>
            <w:r>
              <w:rPr>
                <w:rFonts w:hint="eastAsia" w:asciiTheme="minorEastAsia" w:hAnsiTheme="minorEastAsia" w:eastAsiaTheme="minorEastAsia" w:cstheme="minorEastAsia"/>
                <w:color w:val="auto"/>
                <w:sz w:val="21"/>
                <w:szCs w:val="21"/>
                <w:lang w:eastAsia="zh-CN"/>
              </w:rPr>
              <w:t>街道</w:t>
            </w:r>
            <w:r>
              <w:rPr>
                <w:rFonts w:hint="eastAsia" w:asciiTheme="minorEastAsia" w:hAnsiTheme="minorEastAsia" w:eastAsiaTheme="minorEastAsia" w:cstheme="minorEastAsia"/>
                <w:color w:val="auto"/>
                <w:sz w:val="21"/>
                <w:szCs w:val="21"/>
              </w:rPr>
              <w:t>）和县政府各部门规范性文件报送县政府的备案审查工作。组织开展规范性文件清理。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48" w:type="dxa"/>
            <w:vMerge w:val="continue"/>
            <w:vAlign w:val="center"/>
          </w:tcPr>
          <w:p>
            <w:pPr>
              <w:jc w:val="center"/>
              <w:rPr>
                <w:rFonts w:hint="eastAsia" w:asciiTheme="minorEastAsia" w:hAnsiTheme="minorEastAsia" w:eastAsiaTheme="minorEastAsia" w:cstheme="minorEastAsia"/>
                <w:sz w:val="21"/>
                <w:szCs w:val="21"/>
              </w:rPr>
            </w:pPr>
          </w:p>
        </w:tc>
        <w:tc>
          <w:tcPr>
            <w:tcW w:w="677" w:type="dxa"/>
            <w:gridSpan w:val="2"/>
            <w:vAlign w:val="center"/>
          </w:tcPr>
          <w:p>
            <w:pPr>
              <w:jc w:val="center"/>
              <w:rPr>
                <w:rFonts w:hint="eastAsia" w:asciiTheme="minorEastAsia" w:hAnsiTheme="minorEastAsia" w:eastAsiaTheme="minorEastAsia" w:cstheme="minorEastAsia"/>
                <w:sz w:val="21"/>
                <w:szCs w:val="21"/>
              </w:rPr>
            </w:pPr>
          </w:p>
        </w:tc>
        <w:tc>
          <w:tcPr>
            <w:tcW w:w="6883" w:type="dxa"/>
            <w:vAlign w:val="center"/>
          </w:tcPr>
          <w:p>
            <w:pPr>
              <w:rPr>
                <w:rFonts w:hint="eastAsia" w:asciiTheme="minorEastAsia" w:hAnsiTheme="minorEastAsia" w:eastAsiaTheme="minorEastAsia" w:cstheme="minorEastAsia"/>
                <w:sz w:val="21"/>
                <w:szCs w:val="21"/>
              </w:rPr>
            </w:pPr>
            <w:r>
              <w:rPr>
                <w:rFonts w:hint="eastAsia"/>
                <w:lang w:eastAsia="zh-CN"/>
              </w:rPr>
              <w:t>承担统筹推进法治政府建设的责任。指导监督县政府各部门、各镇(街道）依法行政工作。负责综合协调、监督检查行政执法，承担推进行政执法体制改革有关工作，推进严格规范公正文明执法。指导监督全县行政复议、行政应诉和行政赔偿工作，承办向县政府申请的行政复议、行政赔偿案件，承担县政府为被申请人的行政复议案件，代理县政府行政应诉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8" w:type="dxa"/>
            <w:vMerge w:val="continue"/>
            <w:vAlign w:val="center"/>
          </w:tcPr>
          <w:p>
            <w:pPr>
              <w:jc w:val="center"/>
              <w:rPr>
                <w:rFonts w:hint="eastAsia" w:asciiTheme="minorEastAsia" w:hAnsiTheme="minorEastAsia" w:eastAsiaTheme="minorEastAsia" w:cstheme="minorEastAsia"/>
                <w:sz w:val="21"/>
                <w:szCs w:val="21"/>
              </w:rPr>
            </w:pPr>
          </w:p>
        </w:tc>
        <w:tc>
          <w:tcPr>
            <w:tcW w:w="677" w:type="dxa"/>
            <w:gridSpan w:val="2"/>
            <w:vAlign w:val="center"/>
          </w:tcPr>
          <w:p>
            <w:pPr>
              <w:jc w:val="center"/>
              <w:rPr>
                <w:rFonts w:hint="eastAsia" w:asciiTheme="minorEastAsia" w:hAnsiTheme="minorEastAsia" w:eastAsiaTheme="minorEastAsia" w:cstheme="minorEastAsia"/>
                <w:sz w:val="21"/>
                <w:szCs w:val="21"/>
              </w:rPr>
            </w:pPr>
          </w:p>
        </w:tc>
        <w:tc>
          <w:tcPr>
            <w:tcW w:w="688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承担统筹规划法治社会建设的责任。负责拟订法治宣传教育规划，组织实施普法宣传工作，组织对外法治宣传。推动人民参与和促进法治建设。指导</w:t>
            </w:r>
            <w:r>
              <w:rPr>
                <w:rFonts w:hint="eastAsia" w:asciiTheme="minorEastAsia" w:hAnsiTheme="minorEastAsia" w:eastAsiaTheme="minorEastAsia" w:cstheme="minorEastAsia"/>
                <w:color w:val="auto"/>
                <w:sz w:val="21"/>
                <w:szCs w:val="21"/>
                <w:lang w:eastAsia="zh-CN"/>
              </w:rPr>
              <w:t>调解</w:t>
            </w:r>
            <w:r>
              <w:rPr>
                <w:rFonts w:hint="eastAsia" w:asciiTheme="minorEastAsia" w:hAnsiTheme="minorEastAsia" w:eastAsiaTheme="minorEastAsia" w:cstheme="minorEastAsia"/>
                <w:color w:val="auto"/>
                <w:sz w:val="21"/>
                <w:szCs w:val="21"/>
              </w:rPr>
              <w:t>工作。协助人民监督员选任和管理工作。负责人民陪审员选任工作。指导依法治理和法治创建工作。</w:t>
            </w:r>
            <w:r>
              <w:rPr>
                <w:rFonts w:hint="eastAsia" w:asciiTheme="minorEastAsia" w:hAnsiTheme="minorEastAsia" w:eastAsiaTheme="minorEastAsia" w:cstheme="minorEastAsia"/>
                <w:color w:val="auto"/>
                <w:sz w:val="21"/>
                <w:szCs w:val="21"/>
                <w:lang w:eastAsia="zh-CN"/>
              </w:rPr>
              <w:t>负责</w:t>
            </w:r>
            <w:r>
              <w:rPr>
                <w:rFonts w:hint="eastAsia" w:asciiTheme="minorEastAsia" w:hAnsiTheme="minorEastAsia" w:eastAsiaTheme="minorEastAsia" w:cstheme="minorEastAsia"/>
                <w:color w:val="auto"/>
                <w:sz w:val="21"/>
                <w:szCs w:val="21"/>
              </w:rPr>
              <w:t>司法所建设。将安全生产、职业健康法律法规纳入公民普法教育重要内容并会同有关部门开展宣传普及，做好职责范围内的安全生产工作。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8" w:type="dxa"/>
            <w:vMerge w:val="continue"/>
            <w:vAlign w:val="center"/>
          </w:tcPr>
          <w:p>
            <w:pPr>
              <w:jc w:val="center"/>
              <w:rPr>
                <w:rFonts w:hint="eastAsia" w:asciiTheme="minorEastAsia" w:hAnsiTheme="minorEastAsia" w:eastAsiaTheme="minorEastAsia" w:cstheme="minorEastAsia"/>
                <w:sz w:val="21"/>
                <w:szCs w:val="21"/>
              </w:rPr>
            </w:pPr>
          </w:p>
        </w:tc>
        <w:tc>
          <w:tcPr>
            <w:tcW w:w="677" w:type="dxa"/>
            <w:gridSpan w:val="2"/>
            <w:vAlign w:val="center"/>
          </w:tcPr>
          <w:p>
            <w:pPr>
              <w:jc w:val="center"/>
              <w:rPr>
                <w:rFonts w:hint="eastAsia" w:asciiTheme="minorEastAsia" w:hAnsiTheme="minorEastAsia" w:eastAsiaTheme="minorEastAsia" w:cstheme="minorEastAsia"/>
                <w:sz w:val="21"/>
                <w:szCs w:val="21"/>
              </w:rPr>
            </w:pPr>
          </w:p>
        </w:tc>
        <w:tc>
          <w:tcPr>
            <w:tcW w:w="6883" w:type="dxa"/>
            <w:vAlign w:val="center"/>
          </w:tcPr>
          <w:p>
            <w:pPr>
              <w:spacing w:line="5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负责全县</w:t>
            </w:r>
            <w:r>
              <w:rPr>
                <w:rFonts w:hint="eastAsia" w:asciiTheme="minorEastAsia" w:hAnsiTheme="minorEastAsia" w:eastAsiaTheme="minorEastAsia" w:cstheme="minorEastAsia"/>
                <w:color w:val="auto"/>
                <w:sz w:val="21"/>
                <w:szCs w:val="21"/>
              </w:rPr>
              <w:t>社区矫正工作</w:t>
            </w:r>
            <w:r>
              <w:rPr>
                <w:rFonts w:hint="eastAsia" w:asciiTheme="minorEastAsia" w:hAnsiTheme="minorEastAsia" w:eastAsiaTheme="minorEastAsia" w:cstheme="minorEastAsia"/>
                <w:color w:val="auto"/>
                <w:sz w:val="21"/>
                <w:szCs w:val="21"/>
                <w:lang w:eastAsia="zh-CN"/>
              </w:rPr>
              <w:t>。指导刑满释放人员帮教安置工作。</w:t>
            </w:r>
          </w:p>
          <w:p>
            <w:pPr>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8" w:type="dxa"/>
            <w:vMerge w:val="continue"/>
            <w:vAlign w:val="center"/>
          </w:tcPr>
          <w:p>
            <w:pPr>
              <w:jc w:val="center"/>
              <w:rPr>
                <w:rFonts w:hint="eastAsia" w:asciiTheme="minorEastAsia" w:hAnsiTheme="minorEastAsia" w:eastAsiaTheme="minorEastAsia" w:cstheme="minorEastAsia"/>
                <w:sz w:val="21"/>
                <w:szCs w:val="21"/>
              </w:rPr>
            </w:pPr>
          </w:p>
        </w:tc>
        <w:tc>
          <w:tcPr>
            <w:tcW w:w="677" w:type="dxa"/>
            <w:gridSpan w:val="2"/>
            <w:vAlign w:val="center"/>
          </w:tcPr>
          <w:p>
            <w:pPr>
              <w:jc w:val="center"/>
              <w:rPr>
                <w:rFonts w:hint="eastAsia" w:asciiTheme="minorEastAsia" w:hAnsiTheme="minorEastAsia" w:eastAsiaTheme="minorEastAsia" w:cstheme="minorEastAsia"/>
                <w:sz w:val="21"/>
                <w:szCs w:val="21"/>
              </w:rPr>
            </w:pPr>
          </w:p>
        </w:tc>
        <w:tc>
          <w:tcPr>
            <w:tcW w:w="6883"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负责拟订全县公共法律服务体系建设规划并指导实施，统筹和布局全县城乡、区域法律服务资源。指导监督律师、法律援助、司法鉴定、公证和基层法律服务工作。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8" w:type="dxa"/>
            <w:vMerge w:val="continue"/>
            <w:vAlign w:val="center"/>
          </w:tcPr>
          <w:p>
            <w:pPr>
              <w:jc w:val="center"/>
              <w:rPr>
                <w:rFonts w:hint="eastAsia" w:asciiTheme="minorEastAsia" w:hAnsiTheme="minorEastAsia" w:eastAsiaTheme="minorEastAsia" w:cstheme="minorEastAsia"/>
                <w:sz w:val="21"/>
                <w:szCs w:val="21"/>
              </w:rPr>
            </w:pPr>
          </w:p>
        </w:tc>
        <w:tc>
          <w:tcPr>
            <w:tcW w:w="677" w:type="dxa"/>
            <w:gridSpan w:val="2"/>
            <w:vAlign w:val="center"/>
          </w:tcPr>
          <w:p>
            <w:pPr>
              <w:jc w:val="center"/>
              <w:rPr>
                <w:rFonts w:hint="eastAsia" w:asciiTheme="minorEastAsia" w:hAnsiTheme="minorEastAsia" w:eastAsiaTheme="minorEastAsia" w:cstheme="minorEastAsia"/>
                <w:sz w:val="21"/>
                <w:szCs w:val="21"/>
              </w:rPr>
            </w:pPr>
          </w:p>
        </w:tc>
        <w:tc>
          <w:tcPr>
            <w:tcW w:w="6883"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负责本系统服装和警车管理工作。指导监督本系统财务、装备、设施、场所等保障工作。指导局</w:t>
            </w:r>
            <w:r>
              <w:rPr>
                <w:rFonts w:hint="eastAsia" w:asciiTheme="minorEastAsia" w:hAnsiTheme="minorEastAsia" w:eastAsiaTheme="minorEastAsia" w:cstheme="minorEastAsia"/>
                <w:color w:val="auto"/>
                <w:sz w:val="21"/>
                <w:szCs w:val="21"/>
                <w:lang w:eastAsia="zh-CN"/>
              </w:rPr>
              <w:t>所</w:t>
            </w:r>
            <w:r>
              <w:rPr>
                <w:rFonts w:hint="eastAsia" w:asciiTheme="minorEastAsia" w:hAnsiTheme="minorEastAsia" w:eastAsiaTheme="minorEastAsia" w:cstheme="minorEastAsia"/>
                <w:color w:val="auto"/>
                <w:sz w:val="21"/>
                <w:szCs w:val="21"/>
              </w:rPr>
              <w:t>属单位的计划财务工作。负责局</w:t>
            </w:r>
            <w:r>
              <w:rPr>
                <w:rFonts w:hint="eastAsia" w:asciiTheme="minorEastAsia" w:hAnsiTheme="minorEastAsia" w:eastAsiaTheme="minorEastAsia" w:cstheme="minorEastAsia"/>
                <w:color w:val="auto"/>
                <w:sz w:val="21"/>
                <w:szCs w:val="21"/>
                <w:lang w:eastAsia="zh-CN"/>
              </w:rPr>
              <w:t>所</w:t>
            </w:r>
            <w:r>
              <w:rPr>
                <w:rFonts w:hint="eastAsia" w:asciiTheme="minorEastAsia" w:hAnsiTheme="minorEastAsia" w:eastAsiaTheme="minorEastAsia" w:cstheme="minorEastAsia"/>
                <w:color w:val="auto"/>
                <w:sz w:val="21"/>
                <w:szCs w:val="21"/>
              </w:rPr>
              <w:t>属单位内部审计工作。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8" w:type="dxa"/>
            <w:vMerge w:val="continue"/>
            <w:vAlign w:val="center"/>
          </w:tcPr>
          <w:p>
            <w:pPr>
              <w:jc w:val="center"/>
              <w:rPr>
                <w:rFonts w:hint="eastAsia" w:asciiTheme="minorEastAsia" w:hAnsiTheme="minorEastAsia" w:eastAsiaTheme="minorEastAsia" w:cstheme="minorEastAsia"/>
                <w:sz w:val="21"/>
                <w:szCs w:val="21"/>
              </w:rPr>
            </w:pPr>
          </w:p>
        </w:tc>
        <w:tc>
          <w:tcPr>
            <w:tcW w:w="677" w:type="dxa"/>
            <w:gridSpan w:val="2"/>
            <w:vAlign w:val="center"/>
          </w:tcPr>
          <w:p>
            <w:pPr>
              <w:jc w:val="center"/>
              <w:rPr>
                <w:rFonts w:hint="eastAsia" w:asciiTheme="minorEastAsia" w:hAnsiTheme="minorEastAsia" w:eastAsiaTheme="minorEastAsia" w:cstheme="minorEastAsia"/>
                <w:sz w:val="21"/>
                <w:szCs w:val="21"/>
              </w:rPr>
            </w:pPr>
          </w:p>
        </w:tc>
        <w:tc>
          <w:tcPr>
            <w:tcW w:w="6883"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规划、协调、指导法治人才队伍建设相关工作，指导监督本系统队伍建设。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8" w:type="dxa"/>
            <w:vMerge w:val="continue"/>
            <w:vAlign w:val="center"/>
          </w:tcPr>
          <w:p>
            <w:pPr>
              <w:jc w:val="center"/>
              <w:rPr>
                <w:rFonts w:hint="eastAsia" w:asciiTheme="minorEastAsia" w:hAnsiTheme="minorEastAsia" w:eastAsiaTheme="minorEastAsia" w:cstheme="minorEastAsia"/>
                <w:sz w:val="21"/>
                <w:szCs w:val="21"/>
              </w:rPr>
            </w:pPr>
          </w:p>
        </w:tc>
        <w:tc>
          <w:tcPr>
            <w:tcW w:w="677" w:type="dxa"/>
            <w:gridSpan w:val="2"/>
            <w:vAlign w:val="center"/>
          </w:tcPr>
          <w:p>
            <w:pPr>
              <w:jc w:val="center"/>
              <w:rPr>
                <w:rFonts w:hint="eastAsia" w:asciiTheme="minorEastAsia" w:hAnsiTheme="minorEastAsia" w:eastAsiaTheme="minorEastAsia" w:cstheme="minorEastAsia"/>
                <w:sz w:val="21"/>
                <w:szCs w:val="21"/>
              </w:rPr>
            </w:pPr>
          </w:p>
        </w:tc>
        <w:tc>
          <w:tcPr>
            <w:tcW w:w="6883"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负责并指导本系统行政审批工作。负责全县外来企业投诉处理和民营企业法律服务工作。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8" w:type="dxa"/>
            <w:vMerge w:val="continue"/>
            <w:vAlign w:val="center"/>
          </w:tcPr>
          <w:p>
            <w:pPr>
              <w:jc w:val="center"/>
              <w:rPr>
                <w:rFonts w:hint="eastAsia" w:asciiTheme="minorEastAsia" w:hAnsiTheme="minorEastAsia" w:eastAsiaTheme="minorEastAsia" w:cstheme="minorEastAsia"/>
                <w:sz w:val="21"/>
                <w:szCs w:val="21"/>
              </w:rPr>
            </w:pPr>
          </w:p>
        </w:tc>
        <w:tc>
          <w:tcPr>
            <w:tcW w:w="677" w:type="dxa"/>
            <w:gridSpan w:val="2"/>
            <w:vAlign w:val="center"/>
          </w:tcPr>
          <w:p>
            <w:pPr>
              <w:jc w:val="center"/>
              <w:rPr>
                <w:rFonts w:hint="eastAsia" w:asciiTheme="minorEastAsia" w:hAnsiTheme="minorEastAsia" w:eastAsiaTheme="minorEastAsia" w:cstheme="minorEastAsia"/>
                <w:sz w:val="21"/>
                <w:szCs w:val="21"/>
              </w:rPr>
            </w:pPr>
          </w:p>
        </w:tc>
        <w:tc>
          <w:tcPr>
            <w:tcW w:w="6883"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auto"/>
                <w:sz w:val="21"/>
                <w:szCs w:val="21"/>
                <w:lang w:val="en-US" w:eastAsia="zh-CN"/>
              </w:rPr>
              <w:t>负责职责范围内的安全生产和职业健康、生态环境保护、审批服务便民化等工作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8" w:type="dxa"/>
            <w:vMerge w:val="continue"/>
            <w:vAlign w:val="center"/>
          </w:tcPr>
          <w:p>
            <w:pPr>
              <w:jc w:val="center"/>
              <w:rPr>
                <w:rFonts w:hint="eastAsia" w:asciiTheme="minorEastAsia" w:hAnsiTheme="minorEastAsia" w:eastAsiaTheme="minorEastAsia" w:cstheme="minorEastAsia"/>
                <w:sz w:val="21"/>
                <w:szCs w:val="21"/>
              </w:rPr>
            </w:pPr>
          </w:p>
        </w:tc>
        <w:tc>
          <w:tcPr>
            <w:tcW w:w="677" w:type="dxa"/>
            <w:gridSpan w:val="2"/>
            <w:vAlign w:val="center"/>
          </w:tcPr>
          <w:p>
            <w:pPr>
              <w:jc w:val="center"/>
              <w:rPr>
                <w:rFonts w:hint="eastAsia" w:asciiTheme="minorEastAsia" w:hAnsiTheme="minorEastAsia" w:eastAsiaTheme="minorEastAsia" w:cstheme="minorEastAsia"/>
                <w:sz w:val="21"/>
                <w:szCs w:val="21"/>
              </w:rPr>
            </w:pPr>
          </w:p>
        </w:tc>
        <w:tc>
          <w:tcPr>
            <w:tcW w:w="6883"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完成县委、县政府交办的其他任务。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54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职责边界</w:t>
            </w:r>
          </w:p>
        </w:tc>
        <w:tc>
          <w:tcPr>
            <w:tcW w:w="668" w:type="dxa"/>
            <w:vAlign w:val="center"/>
          </w:tcPr>
          <w:p>
            <w:pPr>
              <w:jc w:val="center"/>
              <w:rPr>
                <w:rFonts w:hint="eastAsia" w:asciiTheme="minorEastAsia" w:hAnsiTheme="minorEastAsia" w:eastAsiaTheme="minorEastAsia" w:cstheme="minorEastAsia"/>
                <w:sz w:val="21"/>
                <w:szCs w:val="21"/>
              </w:rPr>
            </w:pPr>
          </w:p>
        </w:tc>
        <w:tc>
          <w:tcPr>
            <w:tcW w:w="6892" w:type="dxa"/>
            <w:gridSpan w:val="2"/>
            <w:vAlign w:val="center"/>
          </w:tcPr>
          <w:p>
            <w:pPr>
              <w:jc w:val="center"/>
              <w:rPr>
                <w:rFonts w:hint="eastAsia" w:asciiTheme="minorEastAsia" w:hAnsiTheme="minorEastAsia" w:eastAsiaTheme="minorEastAsia" w:cstheme="minorEastAsia"/>
                <w:sz w:val="21"/>
                <w:szCs w:val="21"/>
              </w:rPr>
            </w:pPr>
            <w:bookmarkStart w:id="0" w:name="_GoBack"/>
            <w:bookmarkEnd w:id="0"/>
            <w:r>
              <w:rPr>
                <w:rFonts w:hint="eastAsia" w:asciiTheme="minorEastAsia" w:hAnsiTheme="minorEastAsia" w:eastAsiaTheme="minorEastAsia" w:cstheme="minorEastAsia"/>
                <w:sz w:val="21"/>
                <w:szCs w:val="21"/>
              </w:rPr>
              <w:t>无</w:t>
            </w:r>
          </w:p>
        </w:tc>
      </w:tr>
    </w:tbl>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spacing w:line="580" w:lineRule="exact"/>
        <w:ind w:firstLine="1980" w:firstLineChars="450"/>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泸县司法局责任清单（二）</w:t>
      </w:r>
    </w:p>
    <w:p>
      <w:pPr>
        <w:spacing w:line="360" w:lineRule="exact"/>
        <w:jc w:val="left"/>
        <w:rPr>
          <w:rFonts w:hint="eastAsia" w:asciiTheme="minorEastAsia" w:hAnsiTheme="minorEastAsia" w:eastAsiaTheme="minorEastAsia" w:cstheme="minorEastAsia"/>
          <w:b/>
          <w:sz w:val="21"/>
          <w:szCs w:val="21"/>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6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86"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4086"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4086"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公证员执业、变更许可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4086" w:type="pct"/>
            <w:vAlign w:val="center"/>
          </w:tcPr>
          <w:p>
            <w:pPr>
              <w:pStyle w:val="2"/>
              <w:spacing w:before="0" w:beforeAutospacing="0" w:after="0" w:afterAutospacing="0" w:line="34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法律《中华人民共和国公证法》</w:t>
            </w:r>
          </w:p>
          <w:p>
            <w:pPr>
              <w:pStyle w:val="2"/>
              <w:spacing w:before="0" w:beforeAutospacing="0" w:after="0" w:afterAutospacing="0" w:line="34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第二十一条  担任公证员，应当由符合公证员条件的人员提出申请，经公证机构推荐，由所在地的司法行政部门报省、自治区、直辖市人民政府司法行政部门审核同意后，报请国务院司法行政部门任命，并由省、自治区、直辖市人民政府司法行政部门颁发</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"http://baike.baidu.com/view/2310511.htm" \t "_blank" </w:instrText>
            </w:r>
            <w:r>
              <w:rPr>
                <w:rFonts w:hint="eastAsia" w:asciiTheme="minorEastAsia" w:hAnsiTheme="minorEastAsia" w:eastAsiaTheme="minorEastAsia" w:cstheme="minorEastAsia"/>
                <w:sz w:val="21"/>
                <w:szCs w:val="21"/>
              </w:rPr>
              <w:fldChar w:fldCharType="separate"/>
            </w:r>
            <w:r>
              <w:rPr>
                <w:rStyle w:val="6"/>
                <w:rFonts w:hint="eastAsia" w:asciiTheme="minorEastAsia" w:hAnsiTheme="minorEastAsia" w:eastAsiaTheme="minorEastAsia" w:cstheme="minorEastAsia"/>
                <w:sz w:val="21"/>
                <w:szCs w:val="21"/>
              </w:rPr>
              <w:t>公证员执业证书</w:t>
            </w:r>
            <w:r>
              <w:rPr>
                <w:rStyle w:val="6"/>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p>
            <w:pPr>
              <w:pStyle w:val="2"/>
              <w:shd w:val="clear" w:color="auto" w:fill="FFFFFF"/>
              <w:spacing w:before="0" w:beforeAutospacing="0" w:after="225" w:afterAutospacing="0" w:line="340" w:lineRule="exac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部门规章《公证员执业管理法》。</w:t>
            </w:r>
          </w:p>
          <w:p>
            <w:pPr>
              <w:pStyle w:val="2"/>
              <w:shd w:val="clear" w:color="auto" w:fill="FFFFFF"/>
              <w:spacing w:before="0" w:beforeAutospacing="0" w:after="225" w:afterAutospacing="0" w:line="340" w:lineRule="exac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第十条  符合本办法第七条规定条件的人员，由本人提出申请，经需要选配公证员的公证机构推荐，由所在地司法行政机关出具审查意见，逐级报请省、自治区、直辖市司法行政机关审核。                                  第十一条  符合本办法第八条规定条件的人员，由本人提出申请，经需要选配公证员的公证机构推荐，由所在地司法行政机关出具考核意见，逐级报请省、自治区、直辖市司法行政机关审核。                                  第十五条  公证员变更执业机构，应当经所在公证机构同意和拟任用该公证员的公证机构推荐，报所在地司法行政机关同意后，报省、自治区、直辖市司法行政机关办理变更核准手续。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4086"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责任事项</w:t>
            </w:r>
          </w:p>
        </w:tc>
        <w:tc>
          <w:tcPr>
            <w:tcW w:w="4086" w:type="pct"/>
            <w:vAlign w:val="center"/>
          </w:tcPr>
          <w:p>
            <w:pPr>
              <w:snapToGrid w:val="0"/>
              <w:spacing w:line="3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（1）受理责任。公示应当提交的材料，一次性告知补正材料，依法受理或不予受理（不予受理应当告知理由）。</w:t>
            </w:r>
          </w:p>
          <w:p>
            <w:pPr>
              <w:snapToGrid w:val="0"/>
              <w:spacing w:line="3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（2）审查责任。按照相关法律法规对书面申请材料进行审查，提出审查意见。</w:t>
            </w:r>
          </w:p>
          <w:p>
            <w:pPr>
              <w:snapToGrid w:val="0"/>
              <w:spacing w:line="34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（3）决定责任。</w:t>
            </w:r>
            <w:r>
              <w:rPr>
                <w:rFonts w:hint="eastAsia" w:asciiTheme="minorEastAsia" w:hAnsiTheme="minorEastAsia" w:eastAsiaTheme="minorEastAsia" w:cstheme="minorEastAsia"/>
                <w:color w:val="000000"/>
                <w:kern w:val="0"/>
                <w:sz w:val="21"/>
                <w:szCs w:val="21"/>
              </w:rPr>
              <w:t>作出准予转报或者不予转报的决定。</w:t>
            </w:r>
          </w:p>
          <w:p>
            <w:pPr>
              <w:snapToGrid w:val="0"/>
              <w:spacing w:line="3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（4）事后监督责任。建立实施监督检查的运行机制和管理制度，开展定期和不定期检查，依法采取相关处置措施。</w:t>
            </w:r>
          </w:p>
          <w:p>
            <w:pPr>
              <w:spacing w:line="340" w:lineRule="exact"/>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4"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4086" w:type="pct"/>
            <w:vAlign w:val="center"/>
          </w:tcPr>
          <w:p>
            <w:pPr>
              <w:spacing w:line="3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14"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4086" w:type="pct"/>
            <w:vAlign w:val="center"/>
          </w:tcPr>
          <w:p>
            <w:pPr>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(0830)8190705</w:t>
            </w:r>
          </w:p>
        </w:tc>
      </w:tr>
    </w:tbl>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p>
      <w:pPr>
        <w:spacing w:line="360" w:lineRule="exact"/>
        <w:rPr>
          <w:rFonts w:hint="eastAsia" w:asciiTheme="minorEastAsia" w:hAnsiTheme="minorEastAsia" w:eastAsiaTheme="minorEastAsia" w:cstheme="minorEastAsia"/>
          <w:sz w:val="21"/>
          <w:szCs w:val="21"/>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公证机构设立、变更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4065" w:type="pct"/>
            <w:vAlign w:val="center"/>
          </w:tcPr>
          <w:p>
            <w:pPr>
              <w:pStyle w:val="2"/>
              <w:shd w:val="clear" w:color="auto" w:fill="FFFFFF"/>
              <w:spacing w:before="0" w:beforeAutospacing="0" w:after="225" w:afterAutospacing="0" w:line="360" w:lineRule="exac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法律《中华人民共和国公证法》                                      第九条  设立公证机构，由所在地的司法行政部门报省、自治区、直辖市人民政府司法行政部门按照规定程序批准后，颁发公证机构执业证书。</w:t>
            </w:r>
          </w:p>
          <w:p>
            <w:pPr>
              <w:pStyle w:val="2"/>
              <w:shd w:val="clear" w:color="auto" w:fill="FFFFFF"/>
              <w:spacing w:before="0" w:beforeAutospacing="0" w:after="225" w:afterAutospacing="0" w:line="360" w:lineRule="exac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部门规章《公证机构执业管理办法》                                  第十六条  公证机构变更名称、办公场所，根据当地公证机构设置调整方案予以分立、合并或者变更执业区域的，应当由所在地司法行政机关审核后，逐级报省、自治区、直辖市司法行政机关办理变更核准手续。核准变更的，应当报司法部备案。  公证机构变更负责人的，经所在地司法行政机关核准后，逐级报省、自治区、直辖市司法行政机关备案。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责任事项</w:t>
            </w:r>
          </w:p>
        </w:tc>
        <w:tc>
          <w:tcPr>
            <w:tcW w:w="4065" w:type="pct"/>
            <w:vAlign w:val="center"/>
          </w:tcPr>
          <w:p>
            <w:pPr>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（1）受理责任。公示应当提交的材料，一次性告知补正材料，依法受理或不予受理（不予受理应当告知理由）。</w:t>
            </w:r>
          </w:p>
          <w:p>
            <w:pPr>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（2）审查责任。按照相关法律法规对书面申请材料进行审核，提出审核意见。</w:t>
            </w:r>
          </w:p>
          <w:p>
            <w:pPr>
              <w:snapToGrid w:val="0"/>
              <w:spacing w:line="3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（3）决定责任。</w:t>
            </w:r>
            <w:r>
              <w:rPr>
                <w:rFonts w:hint="eastAsia" w:asciiTheme="minorEastAsia" w:hAnsiTheme="minorEastAsia" w:eastAsiaTheme="minorEastAsia" w:cstheme="minorEastAsia"/>
                <w:color w:val="000000"/>
                <w:kern w:val="0"/>
                <w:sz w:val="21"/>
                <w:szCs w:val="21"/>
              </w:rPr>
              <w:t>作出准予转报或者不予转报的决定。</w:t>
            </w:r>
          </w:p>
          <w:p>
            <w:pPr>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（4）事后监督责任。建立实施监督检查的运行机制和管理制度，开展定期和不定期检查，依法采取相关处置措施。</w:t>
            </w:r>
          </w:p>
          <w:p>
            <w:pPr>
              <w:spacing w:line="360" w:lineRule="exact"/>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4065" w:type="pct"/>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(0830)8190705</w:t>
            </w:r>
          </w:p>
        </w:tc>
      </w:tr>
    </w:tbl>
    <w:p>
      <w:pPr>
        <w:spacing w:line="360" w:lineRule="exact"/>
        <w:jc w:val="center"/>
        <w:rPr>
          <w:rFonts w:hint="eastAsia" w:asciiTheme="minorEastAsia" w:hAnsiTheme="minorEastAsia" w:eastAsiaTheme="minorEastAsia" w:cstheme="minorEastAsia"/>
          <w:sz w:val="21"/>
          <w:szCs w:val="21"/>
        </w:rPr>
      </w:pPr>
    </w:p>
    <w:p>
      <w:pPr>
        <w:spacing w:line="360" w:lineRule="exact"/>
        <w:jc w:val="center"/>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923"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3923"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3923"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基层法律服务工作者执业、变更、注销许可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3923" w:type="pct"/>
            <w:vAlign w:val="center"/>
          </w:tcPr>
          <w:p>
            <w:pPr>
              <w:pStyle w:val="2"/>
              <w:shd w:val="clear" w:color="auto" w:fill="FFFFFF"/>
              <w:spacing w:before="0" w:beforeAutospacing="0" w:after="225" w:afterAutospacing="0" w:line="320" w:lineRule="exac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部门规章《基层法律服务工作者管理办法》　                          第十一条  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w:t>
            </w:r>
          </w:p>
          <w:p>
            <w:pPr>
              <w:pStyle w:val="2"/>
              <w:shd w:val="clear" w:color="auto" w:fill="FFFFFF"/>
              <w:spacing w:before="225" w:beforeAutospacing="0" w:after="0" w:afterAutospacing="0" w:line="320" w:lineRule="exac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第十五条  基层法律服务工作者变更执业机构的，持与原执业的基层法律服务所解除聘用关系、劳动关系的证明和拟变更的基层法律服务所同意接收的证明，按照本办法规定的程序，申请更换《基层法律服务工作者执业证》。第十六条  基层法律服务工作者有下列情形之一的，由执业核准机关注销并收回《基层法律服务工作者执业证》：（一）因严重违法违纪违规行为被基层法律服务所解除聘用合同或者劳动合同的；（二）因与基层法律服务所解除聘用合同、劳动合同或者所在的基层法律服务所被注销，在六个月内未被其他基层法律服务所聘用的；（三）因本人申请注销的；（四）因其他原因停止执业的。                                                    第十七条  基层法律服务工作者应当妥善保管《基层法律服务工作者执业证》，不得伪造、涂改、抵押、出借、出租。  《基层法律服务工作者执业证》遗失或者损坏无法使用的，持证人应当立即向所在地县级司法行政机关或者直辖市的区（县）司法行政机关申请办理补发或更换手续。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3923"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责任事项</w:t>
            </w:r>
          </w:p>
        </w:tc>
        <w:tc>
          <w:tcPr>
            <w:tcW w:w="3923" w:type="pct"/>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（1）受理责任。公示应当提交的材料，一次性告知补正材料，依法受理或不予受理（不予受理应当告知理由）。</w:t>
            </w:r>
          </w:p>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（2）审查责任。按照相关法律法规对书面申请材料进行审查，提出审查意见。</w:t>
            </w:r>
          </w:p>
          <w:p>
            <w:pPr>
              <w:snapToGrid w:val="0"/>
              <w:spacing w:line="32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（3）决定责任。</w:t>
            </w:r>
            <w:r>
              <w:rPr>
                <w:rFonts w:hint="eastAsia" w:asciiTheme="minorEastAsia" w:hAnsiTheme="minorEastAsia" w:eastAsiaTheme="minorEastAsia" w:cstheme="minorEastAsia"/>
                <w:color w:val="000000"/>
                <w:kern w:val="0"/>
                <w:sz w:val="21"/>
                <w:szCs w:val="21"/>
              </w:rPr>
              <w:t>作出准予转报或者不予转报的决定。</w:t>
            </w:r>
          </w:p>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（4）事后监督责任。建立实施监督检查的运行机制和管理制度，开展定期和不定期检查，依法采取相关处置措施。</w:t>
            </w:r>
          </w:p>
          <w:p>
            <w:pPr>
              <w:spacing w:line="320" w:lineRule="exact"/>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3923" w:type="pct"/>
            <w:vAlign w:val="center"/>
          </w:tcPr>
          <w:p>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3923" w:type="pct"/>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(0830)81090705</w:t>
            </w:r>
          </w:p>
        </w:tc>
      </w:tr>
    </w:tbl>
    <w:p>
      <w:pPr>
        <w:rPr>
          <w:rFonts w:hint="eastAsia" w:asciiTheme="minorEastAsia" w:hAnsiTheme="minorEastAsia" w:eastAsiaTheme="minorEastAsia" w:cstheme="minorEastAsia"/>
          <w:sz w:val="21"/>
          <w:szCs w:val="21"/>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对基层法律服务所、基层法律服务工作者违法行为的处罚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4065" w:type="pct"/>
            <w:vAlign w:val="center"/>
          </w:tcPr>
          <w:p>
            <w:pPr>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部门规章《基层法律服务所管理办法》                                </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第三十六条 </w:t>
            </w: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违反规定不以基层法律服务所名义统一接受委托、统一收取服务费，不向委托人出具有效收费凭证的；（三）冒用律师事务所名义执业的；（四）以贬损他人、抬高自己、虚假承诺或者支付介绍费等不正当手段争揽业务的；（五）伪造、涂改、抵押、出租、出借本所执业证的；（六）违反规定变更本所名称、法定代表人或者负责人、合伙人、住所和章程的；（七）不按规定接受年度考核，或者在年度考核中弄虚作假的；（八）违反财务管理规定，私分、挪用或者以其他方式非法处置本所资产的；（九）聘用未获准基层法律服务工作者执业的人员以基层法律服务工作者名义承办业务的；（十）放纵、包庇本所基层法律服务工作者的违法违纪行为的；（十一）内部管理混乱，无法正常开展业务的；（十二）法律、法规、规章规定应予处罚的其他行为。</w:t>
            </w:r>
          </w:p>
          <w:p>
            <w:pPr>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部门规章《基层法律服务工作者管理办法》                            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   司法行政机关对基层法律服务工作者实施上述行政处罚的同时，应当责令其改正。</w:t>
            </w:r>
          </w:p>
          <w:p>
            <w:pPr>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责任事项</w:t>
            </w:r>
          </w:p>
        </w:tc>
        <w:tc>
          <w:tcPr>
            <w:tcW w:w="4065" w:type="pct"/>
            <w:vAlign w:val="center"/>
          </w:tcPr>
          <w:p>
            <w:pPr>
              <w:autoSpaceDE w:val="0"/>
              <w:autoSpaceDN w:val="0"/>
              <w:adjustRightInd w:val="0"/>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1.立案责任： 发现基层法律服务所、基层法律服务工作者</w:t>
            </w:r>
            <w:r>
              <w:rPr>
                <w:rFonts w:hint="eastAsia" w:asciiTheme="minorEastAsia" w:hAnsiTheme="minorEastAsia" w:eastAsiaTheme="minorEastAsia" w:cstheme="minorEastAsia"/>
                <w:color w:val="000000"/>
                <w:kern w:val="0"/>
                <w:sz w:val="21"/>
                <w:szCs w:val="21"/>
              </w:rPr>
              <w:t>涉嫌</w:t>
            </w:r>
            <w:r>
              <w:rPr>
                <w:rFonts w:hint="eastAsia" w:asciiTheme="minorEastAsia" w:hAnsiTheme="minorEastAsia" w:eastAsiaTheme="minorEastAsia" w:cstheme="minorEastAsia"/>
                <w:sz w:val="21"/>
                <w:szCs w:val="21"/>
              </w:rPr>
              <w:t>有违法行为（或其他机关移送的违法案件等），予以审查，决定是否立案。</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2.调查责任：司法局对立案的案件，指定专人负责，及时组织调查取证，与当事人有直接利害关系的应当回避。执法人员不得少于两人，调查时应出示证件，允许当事人辩解。 </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3.审查责任：审理案件调查报告，对案件违法事实、证据、调查取证程序、</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法律适用、处罚种类和幅度、当事人陈述和申辩，提出处理意见。 </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4.告知责任：作出行政处罚决定前，应制作《行政处罚告知书》送达当事人，</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符合听证规定的，制作并送达《行政处罚听证告知书》。 </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5.决定责任：制作《行政处罚决定书》，载明行政处罚听证告知、当事人陈</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述申辩或者听证情况等内容。</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6.送达责任：行政处罚决定书按法律规定的方式送达当事人。</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7.执行责任：依照生效的行政处罚决定，。 </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4065" w:type="pct"/>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(0830)8190705</w:t>
            </w:r>
          </w:p>
        </w:tc>
      </w:tr>
    </w:tbl>
    <w:p>
      <w:pPr>
        <w:rPr>
          <w:rFonts w:hint="eastAsia" w:asciiTheme="minorEastAsia" w:hAnsiTheme="minorEastAsia" w:eastAsiaTheme="minorEastAsia" w:cstheme="minorEastAsia"/>
          <w:sz w:val="21"/>
          <w:szCs w:val="21"/>
        </w:rPr>
      </w:pPr>
    </w:p>
    <w:tbl>
      <w:tblPr>
        <w:tblStyle w:val="3"/>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6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406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406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对司法鉴定机构、司法鉴定人的监督检查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4065" w:type="pct"/>
            <w:vAlign w:val="center"/>
          </w:tcPr>
          <w:p>
            <w:pPr>
              <w:spacing w:line="28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部门规章《司法鉴定机构登记管理办法》</w:t>
            </w:r>
          </w:p>
          <w:p>
            <w:pPr>
              <w:numPr>
                <w:ilvl w:val="0"/>
                <w:numId w:val="1"/>
              </w:numPr>
              <w:spacing w:line="28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司法鉴定管理实行行政管理与行业管理相结合的管理制度。司法行政机关对司法鉴定机构及其司法鉴定活动依法进行指导、管理和监督、检查。司法鉴定行业协会依法进行自律管理。 </w:t>
            </w:r>
          </w:p>
          <w:p>
            <w:pPr>
              <w:spacing w:line="28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第三十三条　司法行政机关应当按照统一部署，依法对司法鉴定机构进行监督、检查。公民、法人和其他组织对司法鉴定机构违反本办法规定的行为进行举报、投诉的，司法行政机关应当及时进行监督、检查，并根据调查结果进行处理。　　</w:t>
            </w:r>
          </w:p>
          <w:p>
            <w:pPr>
              <w:spacing w:line="28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第三十四条 司法行政机关应当就下列事项，对司法鉴定机构进行监督、检查：(一)遵守法律、法规和规章的情况；(二)遵守司法鉴定程序、技术标准和技术操作规范的情况；(三)所属司法鉴定人执业的情况；(四)法律、法规和规章规定的其他事项。</w:t>
            </w:r>
          </w:p>
          <w:p>
            <w:pPr>
              <w:spacing w:line="28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部门规章《司法鉴定人登记管理办法》</w:t>
            </w:r>
          </w:p>
          <w:p>
            <w:pPr>
              <w:numPr>
                <w:ilvl w:val="0"/>
                <w:numId w:val="2"/>
              </w:numPr>
              <w:spacing w:line="28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司法鉴定管理实行行政管理与行业管理相结合的管理制度。司法行政机关对司法鉴定机构及其司法鉴定活动依法进行指导、管理和监督、检查。司法鉴定行业协会依法进行自律管理。</w:t>
            </w:r>
          </w:p>
          <w:p>
            <w:pPr>
              <w:spacing w:line="28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第二十三条　司法鉴定人应当在所在司法鉴定机构接受司法行政机关统一部署的监督、检查。　　</w:t>
            </w:r>
          </w:p>
          <w:p>
            <w:pPr>
              <w:spacing w:line="28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第二十四条　司法行政机关应当就下列事项，对司法鉴定人进行监督、检查：　　（一） 遵守法律、法规和规章的情况；（二）遵守司法鉴定程序、技术标准和技术操作规范的情况；（三）遵守执业规则、职业道德和职业纪律的情况；　　（四）遵守所在司法鉴定机构内部管理制度的情况；（五）法律、法规和规章规定的其他事项。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406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责任事项</w:t>
            </w:r>
          </w:p>
        </w:tc>
        <w:tc>
          <w:tcPr>
            <w:tcW w:w="4065" w:type="pct"/>
            <w:vAlign w:val="center"/>
          </w:tcPr>
          <w:p>
            <w:pPr>
              <w:spacing w:line="28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检查责任：司法行政机关应当对司法鉴定机构、司法鉴定人遵守法律、法规、规章的情况，遵守司法鉴定程序、技术标准和技术操作规范的情况，所属司法鉴定人执业的情况，法律、法规和规章规定的其他事项进行监督、检查。 </w:t>
            </w:r>
          </w:p>
          <w:p>
            <w:pPr>
              <w:spacing w:line="28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2.处置责任：司法行政机关应当对公民、法人和其他组织对司法鉴定机构违反法律法规规章的行为举报、投诉进行监督、检查，并根据调查结果进行处理。</w:t>
            </w:r>
          </w:p>
          <w:p>
            <w:pPr>
              <w:spacing w:line="28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3.移送责任：在查处的过程中，发现有职权范围外的行政处罚情形的，应当提交有管辖权的司法行政机关处理。</w:t>
            </w:r>
          </w:p>
          <w:p>
            <w:pPr>
              <w:spacing w:line="28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4.其他责任：积极配合上级机关或者其他部门工作。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4065" w:type="pct"/>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4065" w:type="pct"/>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（0830）8184338</w:t>
            </w:r>
          </w:p>
        </w:tc>
      </w:tr>
    </w:tbl>
    <w:p>
      <w:pPr>
        <w:rPr>
          <w:rFonts w:hint="eastAsia" w:asciiTheme="minorEastAsia" w:hAnsiTheme="minorEastAsia" w:eastAsiaTheme="minorEastAsia" w:cstheme="minorEastAsia"/>
          <w:sz w:val="21"/>
          <w:szCs w:val="21"/>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41"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4041"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4041"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对公证机构、公证员的监督检查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4041" w:type="pct"/>
            <w:vAlign w:val="center"/>
          </w:tcPr>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部门规章</w:t>
            </w:r>
            <w:r>
              <w:rPr>
                <w:rFonts w:hint="eastAsia" w:asciiTheme="minorEastAsia" w:hAnsiTheme="minorEastAsia" w:eastAsiaTheme="minorEastAsia" w:cstheme="minorEastAsia"/>
                <w:color w:val="000000" w:themeColor="text1"/>
                <w:sz w:val="21"/>
                <w:szCs w:val="21"/>
                <w14:textFill>
                  <w14:solidFill>
                    <w14:schemeClr w14:val="tx1"/>
                  </w14:solidFill>
                </w14:textFill>
              </w:rPr>
              <w:t>《公证机构执业管理办法》</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第二十六条  设区的市和公证机构所在地司法行政机关对本地公证机构的下列事项实施监督：(八)司法部和省、自治区、直辖市司法行政机关要求进行监督检查的其他事项。</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第三十三条　公证机构存在下列情形之一的，所在地司法行政机关应当进行重点监督检查：（一）被投诉或者举报的；（二）执业中有不良记录的；（三）未保持法定设立条件的；（四）年度考核发现内部管理存在严重问题的。　　</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第三十四条　司法行政机关实施监督检查，可以对公证机构进行实地检查，要求公证机构和公证员说明有关情况，调阅公证机构相关材料和公证档案，向相关单位和人员调查、核实有关情况。　　公证机构和公证员应当接受司法行政机关依法实施的监督检查，如实说明有关情况、提供相关资料，不得谎报、隐匿、伪造、销毁相关证据材料。</w:t>
            </w:r>
          </w:p>
          <w:p>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部门规章《公证员执业管理办法》</w:t>
            </w:r>
          </w:p>
          <w:p>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第二十六条　司法行政机关实施监督检查，可以对公证员办理公证业务的情况进行检查，要求公证员及其所在公证机构说明有关情况，调阅相关材料和公证档案，向相关单位和人员调查、核实有关情况。　　公证员及其所在公证机构不得拒绝司法行政机关依法实施的监督检查，不得谎报、隐匿、伪造、销毁相关证据材料。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4041"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责任事项</w:t>
            </w:r>
          </w:p>
        </w:tc>
        <w:tc>
          <w:tcPr>
            <w:tcW w:w="4041" w:type="pct"/>
            <w:vAlign w:val="center"/>
          </w:tcPr>
          <w:p>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1.检查责任：</w:t>
            </w:r>
            <w:r>
              <w:rPr>
                <w:rFonts w:hint="eastAsia" w:asciiTheme="minorEastAsia" w:hAnsiTheme="minorEastAsia" w:eastAsiaTheme="minorEastAsia" w:cstheme="minorEastAsia"/>
                <w:sz w:val="21"/>
                <w:szCs w:val="21"/>
                <w:shd w:val="clear" w:color="auto" w:fill="FFFFFF"/>
              </w:rPr>
              <w:t>对公证机构的组织建设、队伍建设、执业活动、质量控制、内部管理等情况进行监督，开展定期、日常和重点监督检查，以及年度考核。</w:t>
            </w:r>
            <w:r>
              <w:rPr>
                <w:rFonts w:hint="eastAsia" w:asciiTheme="minorEastAsia" w:hAnsiTheme="minorEastAsia" w:eastAsiaTheme="minorEastAsia" w:cstheme="minorEastAsia"/>
                <w:color w:val="000000"/>
                <w:sz w:val="21"/>
                <w:szCs w:val="21"/>
              </w:rPr>
              <w:t>司法行政机关应当依法建立健全行政监督管理制度，指导公证协会应当依据章程建立健全行业自律制度，加强对公证员执业活动的监督，，以及年度考核，依法维护公证员的执业权利。</w:t>
            </w:r>
          </w:p>
          <w:p>
            <w:pPr>
              <w:spacing w:line="300" w:lineRule="exact"/>
              <w:jc w:val="lef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rPr>
              <w:t>2.处置责任：</w:t>
            </w:r>
            <w:r>
              <w:rPr>
                <w:rFonts w:hint="eastAsia" w:asciiTheme="minorEastAsia" w:hAnsiTheme="minorEastAsia" w:eastAsiaTheme="minorEastAsia" w:cstheme="minorEastAsia"/>
                <w:sz w:val="21"/>
                <w:szCs w:val="21"/>
                <w:shd w:val="clear" w:color="auto" w:fill="FFFFFF"/>
              </w:rPr>
              <w:t>司法行政机关在实施监督检查和年度考核过程中，发现公证机构、公证员存在违法行为或者收到相关投诉、举报的，应当及时立案调查，全面、客观、公正地查明事实，收集证据。被调查的公证机构应当向调查机关如实陈述事实，提供有关材料。</w:t>
            </w:r>
          </w:p>
          <w:p>
            <w:pPr>
              <w:spacing w:line="300" w:lineRule="exact"/>
              <w:jc w:val="lef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rPr>
              <w:t>3.移送责任：</w:t>
            </w:r>
            <w:r>
              <w:rPr>
                <w:rFonts w:hint="eastAsia" w:asciiTheme="minorEastAsia" w:hAnsiTheme="minorEastAsia" w:eastAsiaTheme="minorEastAsia" w:cstheme="minorEastAsia"/>
                <w:sz w:val="21"/>
                <w:szCs w:val="21"/>
                <w:shd w:val="clear" w:color="auto" w:fill="FFFFFF"/>
              </w:rPr>
              <w:t>在查处公证机构、公证员违反执业规范和执业纪律行为的过程中，发现有依据公证法的规定应当给予行政处罚情形的，应当提交有管辖权的司法行政机关处理。</w:t>
            </w:r>
          </w:p>
          <w:p>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4.其他责任：</w:t>
            </w:r>
            <w:r>
              <w:rPr>
                <w:rFonts w:hint="eastAsia" w:asciiTheme="minorEastAsia" w:hAnsiTheme="minorEastAsia" w:eastAsiaTheme="minorEastAsia" w:cstheme="minorEastAsia"/>
                <w:kern w:val="0"/>
                <w:sz w:val="21"/>
                <w:szCs w:val="21"/>
                <w:lang w:val="zh-CN"/>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4041" w:type="pct"/>
            <w:vAlign w:val="center"/>
          </w:tcPr>
          <w:p>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59"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4041" w:type="pct"/>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（0830）8184338</w:t>
            </w:r>
          </w:p>
        </w:tc>
      </w:tr>
    </w:tbl>
    <w:p>
      <w:pPr>
        <w:rPr>
          <w:rFonts w:hint="eastAsia" w:asciiTheme="minorEastAsia" w:hAnsiTheme="minorEastAsia" w:eastAsiaTheme="minorEastAsia" w:cstheme="minorEastAsia"/>
          <w:sz w:val="21"/>
          <w:szCs w:val="21"/>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对律师事务所、律师执业的监督检查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4065" w:type="pct"/>
            <w:vAlign w:val="center"/>
          </w:tcPr>
          <w:p>
            <w:pPr>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法律《律师法》</w:t>
            </w:r>
          </w:p>
          <w:p>
            <w:pPr>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第五十二条  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部门规章《律师执业管理办法》</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第四十三条 县级司法行政机关对其执业机构在本行政区域的律师的执业活动进行日常监督管理，履行下列职责：　　(一)检查、监督律师在执业活动中遵守法律、法规、规章和职业道德、执业纪律的情况。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责任事项</w:t>
            </w:r>
          </w:p>
        </w:tc>
        <w:tc>
          <w:tcPr>
            <w:tcW w:w="4065" w:type="pct"/>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1.检查责任：县级</w:t>
            </w:r>
            <w:r>
              <w:rPr>
                <w:rFonts w:hint="eastAsia" w:asciiTheme="minorEastAsia" w:hAnsiTheme="minorEastAsia" w:eastAsiaTheme="minorEastAsia" w:cstheme="minorEastAsia"/>
                <w:kern w:val="0"/>
                <w:sz w:val="21"/>
                <w:szCs w:val="21"/>
              </w:rPr>
              <w:t>司法行政机关应当</w:t>
            </w:r>
            <w:r>
              <w:rPr>
                <w:rFonts w:hint="eastAsia" w:asciiTheme="minorEastAsia" w:hAnsiTheme="minorEastAsia" w:eastAsiaTheme="minorEastAsia" w:cstheme="minorEastAsia"/>
                <w:color w:val="000000"/>
                <w:sz w:val="21"/>
                <w:szCs w:val="21"/>
              </w:rPr>
              <w:t>根据本地区实际情况，依法对律师事务所、律师执业活动进行监督检查。</w:t>
            </w:r>
          </w:p>
          <w:p>
            <w:pPr>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2.处置责任：</w:t>
            </w:r>
            <w:r>
              <w:rPr>
                <w:rFonts w:hint="eastAsia" w:asciiTheme="minorEastAsia" w:hAnsiTheme="minorEastAsia" w:eastAsiaTheme="minorEastAsia" w:cstheme="minorEastAsia"/>
                <w:color w:val="000000"/>
                <w:sz w:val="21"/>
                <w:szCs w:val="21"/>
              </w:rPr>
              <w:t>县级司法行政部门认为律师和律师事务所的违法行为应当给予行政处罚的，应当向上级司法行政部门提出处罚建议。</w:t>
            </w:r>
          </w:p>
          <w:p>
            <w:pPr>
              <w:autoSpaceDE w:val="0"/>
              <w:autoSpaceDN w:val="0"/>
              <w:adjustRightInd w:val="0"/>
              <w:spacing w:line="360" w:lineRule="exact"/>
              <w:jc w:val="lef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rPr>
              <w:t>3.移送责任：</w:t>
            </w:r>
            <w:r>
              <w:rPr>
                <w:rFonts w:hint="eastAsia" w:asciiTheme="minorEastAsia" w:hAnsiTheme="minorEastAsia" w:eastAsiaTheme="minorEastAsia" w:cstheme="minorEastAsia"/>
                <w:sz w:val="21"/>
                <w:szCs w:val="21"/>
                <w:shd w:val="clear" w:color="auto" w:fill="FFFFFF"/>
              </w:rPr>
              <w:t>在查处律师事务所、律师违反执业规范和执业纪律行为的过程中，发现有依据相关法律的规定应当给予行政处罚情形的，应当提交有管辖权的司法行政机关处理。</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4.其他责任：</w:t>
            </w:r>
            <w:r>
              <w:rPr>
                <w:rFonts w:hint="eastAsia" w:asciiTheme="minorEastAsia" w:hAnsiTheme="minorEastAsia" w:eastAsiaTheme="minorEastAsia" w:cstheme="minorEastAsia"/>
                <w:kern w:val="0"/>
                <w:sz w:val="21"/>
                <w:szCs w:val="21"/>
                <w:lang w:val="zh-CN"/>
              </w:rPr>
              <w:t>法律法规规章文件规定应履行的其他责任。</w:t>
            </w:r>
          </w:p>
          <w:p>
            <w:pPr>
              <w:spacing w:line="36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4065" w:type="pct"/>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（0830）8190705</w:t>
            </w:r>
          </w:p>
        </w:tc>
      </w:tr>
    </w:tbl>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对基层法律服务所的监督检查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4065" w:type="pct"/>
            <w:vAlign w:val="center"/>
          </w:tcPr>
          <w:p>
            <w:pPr>
              <w:spacing w:line="360" w:lineRule="exact"/>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000000"/>
                <w:sz w:val="21"/>
                <w:szCs w:val="21"/>
              </w:rPr>
              <w:t>部门规章</w:t>
            </w:r>
            <w:r>
              <w:rPr>
                <w:rFonts w:hint="eastAsia" w:asciiTheme="minorEastAsia" w:hAnsiTheme="minorEastAsia" w:eastAsiaTheme="minorEastAsia" w:cstheme="minorEastAsia"/>
                <w:color w:val="000000" w:themeColor="text1"/>
                <w:sz w:val="21"/>
                <w:szCs w:val="21"/>
                <w14:textFill>
                  <w14:solidFill>
                    <w14:schemeClr w14:val="tx1"/>
                  </w14:solidFill>
                </w14:textFill>
              </w:rPr>
              <w:t>《基层法律服务所管理办法》</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第三十四条 </w:t>
            </w:r>
            <w:r>
              <w:rPr>
                <w:rFonts w:hint="eastAsia" w:asciiTheme="minorEastAsia" w:hAnsiTheme="minorEastAsia" w:eastAsiaTheme="minorEastAsia" w:cstheme="minorEastAsia"/>
                <w:b/>
                <w:bCs/>
                <w:color w:val="000000"/>
                <w:sz w:val="21"/>
                <w:szCs w:val="21"/>
              </w:rPr>
              <w:t xml:space="preserve"> </w:t>
            </w:r>
            <w:r>
              <w:rPr>
                <w:rFonts w:hint="eastAsia" w:asciiTheme="minorEastAsia" w:hAnsiTheme="minorEastAsia" w:eastAsiaTheme="minorEastAsia" w:cstheme="minorEastAsia"/>
                <w:color w:val="000000"/>
                <w:sz w:val="21"/>
                <w:szCs w:val="21"/>
              </w:rPr>
              <w:t>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责任事项</w:t>
            </w:r>
          </w:p>
        </w:tc>
        <w:tc>
          <w:tcPr>
            <w:tcW w:w="4065" w:type="pct"/>
            <w:vAlign w:val="center"/>
          </w:tcPr>
          <w:p>
            <w:pPr>
              <w:spacing w:line="360" w:lineRule="exac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1.检查责任：对基层法律服务所的执业活动进行检查监督。</w:t>
            </w:r>
          </w:p>
          <w:p>
            <w:pPr>
              <w:spacing w:line="360" w:lineRule="exac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2.处置责任：根据检查情况，依法采取相应的处置措施。</w:t>
            </w:r>
          </w:p>
          <w:p>
            <w:pPr>
              <w:spacing w:line="360" w:lineRule="exac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3.移送责任：在查处基层法律服务所违反执业规范和执业纪律行为的过程中，发现有依据相关法律的规定应当由上级司法行政机关给予行政处罚情形的，应当提交有管辖权的司法行政机关处理。</w:t>
            </w:r>
          </w:p>
          <w:p>
            <w:pPr>
              <w:spacing w:line="360" w:lineRule="exac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4.其他责任：</w:t>
            </w:r>
            <w:r>
              <w:rPr>
                <w:rFonts w:hint="eastAsia" w:asciiTheme="minorEastAsia" w:hAnsiTheme="minorEastAsia" w:eastAsiaTheme="minorEastAsia" w:cstheme="minorEastAsia"/>
                <w:sz w:val="21"/>
                <w:szCs w:val="21"/>
                <w:shd w:val="clear" w:color="auto" w:fill="FFFFFF"/>
                <w:lang w:val="zh-CN"/>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4065" w:type="pct"/>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（0830）8190705</w:t>
            </w:r>
          </w:p>
        </w:tc>
      </w:tr>
    </w:tbl>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ind w:firstLine="105" w:firstLineChars="50"/>
        <w:rPr>
          <w:rFonts w:hint="eastAsia" w:asciiTheme="minorEastAsia" w:hAnsiTheme="minorEastAsia" w:eastAsiaTheme="minorEastAsia" w:cstheme="minorEastAsia"/>
          <w:sz w:val="21"/>
          <w:szCs w:val="21"/>
        </w:rPr>
      </w:pPr>
    </w:p>
    <w:p>
      <w:pPr>
        <w:spacing w:line="360" w:lineRule="exact"/>
        <w:ind w:firstLine="105" w:firstLineChars="50"/>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对基层法律服务工作者的监督检查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4065" w:type="pct"/>
            <w:vAlign w:val="center"/>
          </w:tcPr>
          <w:p>
            <w:pPr>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部门规章《基层法律服务工作者管理办法》</w:t>
            </w:r>
          </w:p>
          <w:p>
            <w:pPr>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第四十四条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责任事项</w:t>
            </w:r>
          </w:p>
        </w:tc>
        <w:tc>
          <w:tcPr>
            <w:tcW w:w="4065" w:type="pct"/>
            <w:vAlign w:val="center"/>
          </w:tcPr>
          <w:p>
            <w:pPr>
              <w:spacing w:line="360" w:lineRule="exac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1.检查责任：对基层法律服务工作者的执业活动进行检查监督。</w:t>
            </w:r>
          </w:p>
          <w:p>
            <w:pPr>
              <w:spacing w:line="360" w:lineRule="exac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2.处置责任：根据检查情况，依法采取相应的处置措施。</w:t>
            </w:r>
          </w:p>
          <w:p>
            <w:pPr>
              <w:spacing w:line="360" w:lineRule="exac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3.移送责任：在查处基层法律服务工作者违反执业规范和执业纪律行为的过程中，发现有依据相关法律的规定应当由上级司法行政机关给予行政处罚情形的，应当提交有管辖权的司法行政机关处理。</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color="auto" w:fill="FFFFFF"/>
              </w:rPr>
              <w:t>4.其他责任：</w:t>
            </w:r>
            <w:r>
              <w:rPr>
                <w:rFonts w:hint="eastAsia" w:asciiTheme="minorEastAsia" w:hAnsiTheme="minorEastAsia" w:eastAsiaTheme="minorEastAsia" w:cstheme="minorEastAsia"/>
                <w:sz w:val="21"/>
                <w:szCs w:val="21"/>
                <w:shd w:val="clear" w:color="auto" w:fill="FFFFFF"/>
                <w:lang w:val="zh-CN"/>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4065" w:type="pct"/>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（0830）8190705</w:t>
            </w:r>
          </w:p>
        </w:tc>
      </w:tr>
    </w:tbl>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jc w:val="center"/>
        <w:rPr>
          <w:rFonts w:hint="eastAsia" w:asciiTheme="minorEastAsia" w:hAnsiTheme="minorEastAsia" w:eastAsiaTheme="minorEastAsia" w:cstheme="minorEastAsia"/>
          <w:sz w:val="21"/>
          <w:szCs w:val="21"/>
        </w:rPr>
      </w:pPr>
    </w:p>
    <w:p>
      <w:pPr>
        <w:spacing w:line="360" w:lineRule="exact"/>
        <w:jc w:val="center"/>
        <w:rPr>
          <w:rFonts w:hint="eastAsia" w:asciiTheme="minorEastAsia" w:hAnsiTheme="minorEastAsia" w:eastAsiaTheme="minorEastAsia" w:cstheme="minorEastAsia"/>
          <w:sz w:val="21"/>
          <w:szCs w:val="21"/>
        </w:rPr>
      </w:pPr>
    </w:p>
    <w:p>
      <w:pPr>
        <w:spacing w:line="360" w:lineRule="exact"/>
        <w:jc w:val="center"/>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tbl>
      <w:tblPr>
        <w:tblStyle w:val="3"/>
        <w:tblpPr w:leftFromText="180" w:rightFromText="180" w:vertAnchor="text" w:tblpY="-2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对法律援助服务机构和法律援助人员的表彰奖励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4065" w:type="pct"/>
            <w:vAlign w:val="center"/>
          </w:tcPr>
          <w:p>
            <w:pPr>
              <w:spacing w:line="360" w:lineRule="exact"/>
              <w:jc w:val="left"/>
              <w:rPr>
                <w:rFonts w:hint="eastAsia" w:asciiTheme="minorEastAsia" w:hAnsiTheme="minorEastAsia" w:eastAsiaTheme="minorEastAsia" w:cstheme="minorEastAsia"/>
                <w:color w:val="000000"/>
                <w:sz w:val="21"/>
                <w:szCs w:val="21"/>
              </w:rPr>
            </w:pPr>
          </w:p>
          <w:p>
            <w:pPr>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行政法规《法律援助条例》</w:t>
            </w:r>
          </w:p>
          <w:p>
            <w:pPr>
              <w:numPr>
                <w:ilvl w:val="0"/>
                <w:numId w:val="3"/>
              </w:numPr>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对在法律援助工作中作出突出贡献的组织和个人，有关的人民政府、司法行政部门应当给予表彰、奖励。</w:t>
            </w:r>
          </w:p>
          <w:p>
            <w:pPr>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地方性法规《四川省法律援助条例》</w:t>
            </w:r>
          </w:p>
          <w:p>
            <w:pPr>
              <w:spacing w:line="3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第八条  有关地方人民政府、司法行政部门应当对在法律援助工作中作出突出贡献的组织和个人给予表彰和奖励。</w:t>
            </w:r>
          </w:p>
          <w:p>
            <w:pPr>
              <w:spacing w:line="360" w:lineRule="exac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责任事项</w:t>
            </w:r>
          </w:p>
        </w:tc>
        <w:tc>
          <w:tcPr>
            <w:tcW w:w="4065" w:type="pct"/>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1.制定方案责任：根据工作实际，制定奖励方案。</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2.组织推荐责任：严格按照表彰方案规定的条件、程序，组织推荐工作，对推荐对象进行初审。</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3.审核公示责任：对符合条件的推荐对象进行审核，并进行公示。</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4.表彰责任：按照程序及时作出奖励。</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5.其他责任：法律法规规章文件规定应履行的责任。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4065" w:type="pct"/>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4065"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（0830）8190705</w:t>
            </w:r>
          </w:p>
        </w:tc>
      </w:tr>
    </w:tbl>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jc w:val="center"/>
        <w:rPr>
          <w:rFonts w:hint="eastAsia" w:asciiTheme="minorEastAsia" w:hAnsiTheme="minorEastAsia" w:eastAsiaTheme="minorEastAsia" w:cstheme="minorEastAsia"/>
          <w:sz w:val="21"/>
          <w:szCs w:val="21"/>
        </w:rPr>
      </w:pPr>
    </w:p>
    <w:p>
      <w:pPr>
        <w:spacing w:line="360" w:lineRule="exact"/>
        <w:jc w:val="center"/>
        <w:rPr>
          <w:rFonts w:hint="eastAsia" w:asciiTheme="minorEastAsia" w:hAnsiTheme="minorEastAsia" w:eastAsiaTheme="minorEastAsia" w:cstheme="minorEastAsia"/>
          <w:sz w:val="21"/>
          <w:szCs w:val="21"/>
        </w:rPr>
      </w:pPr>
    </w:p>
    <w:p>
      <w:pPr>
        <w:spacing w:line="360" w:lineRule="exact"/>
        <w:jc w:val="center"/>
        <w:rPr>
          <w:rFonts w:hint="eastAsia" w:asciiTheme="minorEastAsia" w:hAnsiTheme="minorEastAsia" w:eastAsiaTheme="minorEastAsia" w:cstheme="minorEastAsia"/>
          <w:sz w:val="21"/>
          <w:szCs w:val="21"/>
        </w:rPr>
      </w:pPr>
    </w:p>
    <w:p>
      <w:pPr>
        <w:spacing w:line="360" w:lineRule="exact"/>
        <w:jc w:val="center"/>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ind w:firstLine="105" w:firstLineChars="50"/>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6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68"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4068"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4068"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对基层法律服务所、基层法律服务工作者的表彰奖励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4068" w:type="pct"/>
            <w:vAlign w:val="center"/>
          </w:tcPr>
          <w:p>
            <w:pPr>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部门规章《基层法律服务所管理办法》</w:t>
            </w:r>
          </w:p>
          <w:p>
            <w:pPr>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第三十五条  </w:t>
            </w:r>
            <w:r>
              <w:rPr>
                <w:rFonts w:hint="eastAsia" w:asciiTheme="minorEastAsia" w:hAnsiTheme="minorEastAsia" w:eastAsiaTheme="minorEastAsia" w:cstheme="minorEastAsia"/>
                <w:color w:val="000000" w:themeColor="text1"/>
                <w:sz w:val="21"/>
                <w:szCs w:val="21"/>
                <w14:textFill>
                  <w14:solidFill>
                    <w14:schemeClr w14:val="tx1"/>
                  </w14:solidFill>
                </w14:textFill>
              </w:rPr>
              <w:t>司法行政机关对工作成绩显著、队伍建设良好、管理制度完善的基层法律服务所，按照有关规定给予表彰奖励。</w:t>
            </w:r>
          </w:p>
          <w:p>
            <w:pPr>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spacing w:line="36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部门规章《基层法律服务工作者管理办法》</w:t>
            </w:r>
          </w:p>
          <w:p>
            <w:pPr>
              <w:spacing w:line="360" w:lineRule="exact"/>
              <w:jc w:val="cente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第四十五条  司法行政机关对有突出事迹或者显著贡献的基层法律服务工</w:t>
            </w:r>
          </w:p>
          <w:p>
            <w:pPr>
              <w:spacing w:line="360" w:lineRule="exact"/>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作者，按照有关规定给予表彰奖励。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4068"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责任事项</w:t>
            </w:r>
          </w:p>
        </w:tc>
        <w:tc>
          <w:tcPr>
            <w:tcW w:w="4068" w:type="pct"/>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1.制定方案责任：根据工作实际，制定奖励方案。</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2.组织推荐责任：严格按照表彰方案规定的条件、程序，组织推荐工作，对推荐对象进行初审。</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3.审核公示责任：对符合条件的推荐对象进行审核，并进行公示。</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4.表彰责任：按照程序及时作出奖励。</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5.其他责任：法律法规规章文件规定应履行的责任。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4068" w:type="pct"/>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4068"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（0830）8190705</w:t>
            </w:r>
          </w:p>
        </w:tc>
      </w:tr>
    </w:tbl>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序号</w:t>
            </w:r>
          </w:p>
        </w:tc>
        <w:tc>
          <w:tcPr>
            <w:tcW w:w="406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权力类型</w:t>
            </w:r>
          </w:p>
        </w:tc>
        <w:tc>
          <w:tcPr>
            <w:tcW w:w="406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权力项目名称</w:t>
            </w:r>
          </w:p>
        </w:tc>
        <w:tc>
          <w:tcPr>
            <w:tcW w:w="406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对人民调解委员会和人民调解员的表彰奖励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实施依据</w:t>
            </w:r>
          </w:p>
        </w:tc>
        <w:tc>
          <w:tcPr>
            <w:tcW w:w="4065" w:type="pct"/>
            <w:vAlign w:val="center"/>
          </w:tcPr>
          <w:p>
            <w:pPr>
              <w:pStyle w:val="2"/>
              <w:spacing w:before="0" w:beforeAutospacing="0" w:after="226" w:afterAutospacing="0"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部门规章《人民调解委员会及调解员奖励办法》</w:t>
            </w:r>
          </w:p>
          <w:p>
            <w:pPr>
              <w:pStyle w:val="2"/>
              <w:spacing w:before="0" w:beforeAutospacing="0" w:after="226" w:afterAutospacing="0"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第七条第三款</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地(市)、县级司法局(处)表彰的统称先进人民调解委员会和先进人民调解员，分别由地(市)、县级司法局(处)批准。</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第十条  表彰奖励集体和个人，地(市)、县级司法局(处)每一年或两年一次，省、自治区、直辖市司法厅(局)每两年一次，司法部每四年一次。对有特殊贡献的集体和个人，可随时表彰奖励。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责任主体</w:t>
            </w:r>
          </w:p>
        </w:tc>
        <w:tc>
          <w:tcPr>
            <w:tcW w:w="406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责任事项</w:t>
            </w:r>
          </w:p>
        </w:tc>
        <w:tc>
          <w:tcPr>
            <w:tcW w:w="4065" w:type="pct"/>
            <w:vAlign w:val="center"/>
          </w:tcPr>
          <w:p>
            <w:pPr>
              <w:spacing w:line="360" w:lineRule="exact"/>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1.制定方案责任：根据工作实际，制定奖励方案。</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2.组织推荐责任：严格按照表彰方案规定的条件、程序，组织推荐工作，对推荐对象进行初审。</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3.审核公示责任：对符合条件的推荐对象进行审核，并进行公示。</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4.表彰责任：按照程序及时作出奖励。</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5.其他责任：法律法规规章文件规定应履行的责任。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追责情形</w:t>
            </w:r>
          </w:p>
        </w:tc>
        <w:tc>
          <w:tcPr>
            <w:tcW w:w="4065" w:type="pct"/>
            <w:vAlign w:val="center"/>
          </w:tcPr>
          <w:p>
            <w:pPr>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监督电话</w:t>
            </w:r>
          </w:p>
        </w:tc>
        <w:tc>
          <w:tcPr>
            <w:tcW w:w="4065" w:type="pct"/>
            <w:vAlign w:val="center"/>
          </w:tcPr>
          <w:p>
            <w:pPr>
              <w:spacing w:line="36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（0830）8190705</w:t>
            </w:r>
          </w:p>
        </w:tc>
      </w:tr>
    </w:tbl>
    <w:p>
      <w:pPr>
        <w:spacing w:line="360" w:lineRule="exact"/>
        <w:ind w:left="840" w:leftChars="300" w:hanging="210" w:hangingChars="100"/>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p>
      <w:pPr>
        <w:spacing w:line="360" w:lineRule="exact"/>
        <w:rPr>
          <w:rFonts w:hint="eastAsia" w:asciiTheme="minorEastAsia" w:hAnsiTheme="minorEastAsia" w:eastAsiaTheme="minorEastAsia" w:cstheme="minorEastAsia"/>
          <w:sz w:val="21"/>
          <w:szCs w:val="21"/>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077"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权力类型</w:t>
            </w:r>
          </w:p>
        </w:tc>
        <w:tc>
          <w:tcPr>
            <w:tcW w:w="4077"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权力项目名称</w:t>
            </w:r>
          </w:p>
        </w:tc>
        <w:tc>
          <w:tcPr>
            <w:tcW w:w="4077"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基层法律服务所变更、注销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实施依据</w:t>
            </w:r>
          </w:p>
        </w:tc>
        <w:tc>
          <w:tcPr>
            <w:tcW w:w="4077" w:type="pct"/>
            <w:vAlign w:val="center"/>
          </w:tcPr>
          <w:p>
            <w:pPr>
              <w:pStyle w:val="2"/>
              <w:shd w:val="clear" w:color="auto" w:fill="FFFFFF"/>
              <w:spacing w:before="0" w:beforeAutospacing="0" w:after="0" w:afterAutospacing="0" w:line="360" w:lineRule="exact"/>
              <w:rPr>
                <w:rFonts w:hint="eastAsia" w:asciiTheme="minorEastAsia" w:hAnsiTheme="minorEastAsia" w:eastAsiaTheme="minorEastAsia" w:cstheme="minorEastAsia"/>
                <w:b/>
                <w:color w:val="333333"/>
                <w:sz w:val="21"/>
                <w:szCs w:val="21"/>
              </w:rPr>
            </w:pPr>
            <w:r>
              <w:rPr>
                <w:rFonts w:hint="eastAsia" w:asciiTheme="minorEastAsia" w:hAnsiTheme="minorEastAsia" w:eastAsiaTheme="minorEastAsia" w:cstheme="minorEastAsia"/>
                <w:color w:val="333333"/>
                <w:sz w:val="21"/>
                <w:szCs w:val="21"/>
                <w:shd w:val="clear" w:color="auto" w:fill="FFFFFF"/>
              </w:rPr>
              <w:t>部门规章</w:t>
            </w:r>
            <w:r>
              <w:rPr>
                <w:rStyle w:val="5"/>
                <w:rFonts w:hint="eastAsia" w:asciiTheme="minorEastAsia" w:hAnsiTheme="minorEastAsia" w:eastAsiaTheme="minorEastAsia" w:cstheme="minorEastAsia"/>
                <w:b w:val="0"/>
                <w:color w:val="333333"/>
                <w:sz w:val="21"/>
                <w:szCs w:val="21"/>
                <w:shd w:val="clear" w:color="auto" w:fill="FFFFFF"/>
              </w:rPr>
              <w:t>《基层法律服务所管理办法》</w:t>
            </w:r>
          </w:p>
          <w:p>
            <w:pPr>
              <w:pStyle w:val="2"/>
              <w:shd w:val="clear" w:color="auto" w:fill="FFFFFF"/>
              <w:spacing w:before="0" w:beforeAutospacing="0" w:after="0" w:afterAutospacing="0" w:line="360" w:lineRule="exact"/>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shd w:val="clear" w:color="auto" w:fill="FFFFFF"/>
              </w:rPr>
              <w:t>第十条  基层法律服务所变更名称、法定代表人或者负责人、合伙人、住所和修改章程的，应当由所在地县级司法行政机关审查同意后报设区的市级司法行政机关批准，或者由直辖市的区（县）司法行政机关批准。</w:t>
            </w:r>
          </w:p>
          <w:p>
            <w:pPr>
              <w:pStyle w:val="2"/>
              <w:shd w:val="clear" w:color="auto" w:fill="FFFFFF"/>
              <w:spacing w:before="0" w:beforeAutospacing="0" w:after="0" w:afterAutospacing="0" w:line="360" w:lineRule="exact"/>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shd w:val="clear" w:color="auto" w:fill="FFFFFF"/>
              </w:rPr>
              <w:t>第十二条 基层法律服务所在终止事由发生后，应当向社会公告，按照有关规定进行清算，并不得受理新的业务。</w:t>
            </w:r>
          </w:p>
          <w:p>
            <w:pPr>
              <w:pStyle w:val="2"/>
              <w:shd w:val="clear" w:color="auto" w:fill="FFFFFF"/>
              <w:spacing w:before="0" w:beforeAutospacing="0" w:after="0" w:afterAutospacing="0" w:line="360" w:lineRule="exact"/>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shd w:val="clear" w:color="auto" w:fill="FFFFFF"/>
              </w:rPr>
              <w:t>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责任主体</w:t>
            </w:r>
          </w:p>
        </w:tc>
        <w:tc>
          <w:tcPr>
            <w:tcW w:w="4077"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泸县司法局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责任事项</w:t>
            </w:r>
          </w:p>
        </w:tc>
        <w:tc>
          <w:tcPr>
            <w:tcW w:w="4077" w:type="pct"/>
            <w:vAlign w:val="center"/>
          </w:tcPr>
          <w:p>
            <w:pPr>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（（1）受理责任。公示应当提交的材料，一次性告知补正材料，依法受理或不予受理（不予受理应当告知理由）。</w:t>
            </w:r>
          </w:p>
          <w:p>
            <w:pPr>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（2）审查责任。按照相关法律法规对书面申请材料进行审查，提出审查意见。</w:t>
            </w:r>
          </w:p>
          <w:p>
            <w:pPr>
              <w:snapToGrid w:val="0"/>
              <w:spacing w:line="3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（3）决定责任。</w:t>
            </w:r>
            <w:r>
              <w:rPr>
                <w:rFonts w:hint="eastAsia" w:asciiTheme="minorEastAsia" w:hAnsiTheme="minorEastAsia" w:eastAsiaTheme="minorEastAsia" w:cstheme="minorEastAsia"/>
                <w:color w:val="000000"/>
                <w:kern w:val="0"/>
                <w:sz w:val="21"/>
                <w:szCs w:val="21"/>
              </w:rPr>
              <w:t>作出准予转报或者不予转报的决定。</w:t>
            </w:r>
          </w:p>
          <w:p>
            <w:pPr>
              <w:snapToGrid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（4）事后监督责任。建立实施监督检查的运行机制和管理制度，开展定期和不定期检查，依法采取相关处置措施。</w:t>
            </w:r>
          </w:p>
          <w:p>
            <w:pPr>
              <w:spacing w:line="3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（5）其他责任。法律法规规章文件规定应履行的其他责任。</w:t>
            </w:r>
          </w:p>
          <w:p>
            <w:pPr>
              <w:spacing w:line="360" w:lineRule="exact"/>
              <w:jc w:val="left"/>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追责情形</w:t>
            </w:r>
          </w:p>
        </w:tc>
        <w:tc>
          <w:tcPr>
            <w:tcW w:w="4077" w:type="pct"/>
            <w:vAlign w:val="center"/>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4077" w:type="pct"/>
            <w:vAlign w:val="center"/>
          </w:tcPr>
          <w:p>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(0830)8190705</w:t>
            </w:r>
          </w:p>
        </w:tc>
      </w:tr>
    </w:tbl>
    <w:p>
      <w:pPr>
        <w:spacing w:line="360" w:lineRule="exact"/>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3AB21"/>
    <w:multiLevelType w:val="singleLevel"/>
    <w:tmpl w:val="58A3AB21"/>
    <w:lvl w:ilvl="0" w:tentative="0">
      <w:start w:val="4"/>
      <w:numFmt w:val="chineseCounting"/>
      <w:suff w:val="space"/>
      <w:lvlText w:val="第%1条"/>
      <w:lvlJc w:val="left"/>
    </w:lvl>
  </w:abstractNum>
  <w:abstractNum w:abstractNumId="1">
    <w:nsid w:val="58A3AB53"/>
    <w:multiLevelType w:val="singleLevel"/>
    <w:tmpl w:val="58A3AB53"/>
    <w:lvl w:ilvl="0" w:tentative="0">
      <w:start w:val="4"/>
      <w:numFmt w:val="chineseCounting"/>
      <w:suff w:val="space"/>
      <w:lvlText w:val="第%1条"/>
      <w:lvlJc w:val="left"/>
    </w:lvl>
  </w:abstractNum>
  <w:abstractNum w:abstractNumId="2">
    <w:nsid w:val="58A3AD56"/>
    <w:multiLevelType w:val="singleLevel"/>
    <w:tmpl w:val="58A3AD56"/>
    <w:lvl w:ilvl="0" w:tentative="0">
      <w:start w:val="9"/>
      <w:numFmt w:val="chineseCounting"/>
      <w:suff w:val="space"/>
      <w:lvlText w:val="第%1条"/>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17857"/>
    <w:rsid w:val="07127D40"/>
    <w:rsid w:val="183D7E5E"/>
    <w:rsid w:val="20B17857"/>
    <w:rsid w:val="22807656"/>
    <w:rsid w:val="23A5175E"/>
    <w:rsid w:val="28926CC0"/>
    <w:rsid w:val="2FA158B0"/>
    <w:rsid w:val="34AC4894"/>
    <w:rsid w:val="354A79E6"/>
    <w:rsid w:val="384218A8"/>
    <w:rsid w:val="42BC6A48"/>
    <w:rsid w:val="4B2024CD"/>
    <w:rsid w:val="52364280"/>
    <w:rsid w:val="52BC10E8"/>
    <w:rsid w:val="5EB23A96"/>
    <w:rsid w:val="6B81244F"/>
    <w:rsid w:val="7060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r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2020-06-09T02:36:00Z</dcterms:created>
  <dc:creator>Administrator</dc:creator>
  <cp:lastModifiedBy>南瓜和向日葵</cp:lastModifiedBy>
  <dcterms:modified xsi:type="dcterms:W3CDTF">2020-12-24T17:06:14Z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